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bookmarkStart w:id="7" w:name="_GoBack"/>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项目名称：冰火板墙板</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42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610"/>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142"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4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742"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498"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42"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冰火板墙板</w:t>
            </w:r>
          </w:p>
        </w:tc>
        <w:tc>
          <w:tcPr>
            <w:tcW w:w="104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w:t>
            </w:r>
          </w:p>
        </w:tc>
        <w:tc>
          <w:tcPr>
            <w:tcW w:w="742"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平方米</w:t>
            </w:r>
          </w:p>
        </w:tc>
        <w:tc>
          <w:tcPr>
            <w:tcW w:w="1498"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120</w:t>
            </w:r>
          </w:p>
        </w:tc>
      </w:tr>
      <w:tr w14:paraId="424D0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01" w:type="pct"/>
            <w:gridSpan w:val="4"/>
            <w:vAlign w:val="center"/>
          </w:tcPr>
          <w:p w14:paraId="4494BEB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w:t>
            </w:r>
          </w:p>
        </w:tc>
        <w:tc>
          <w:tcPr>
            <w:tcW w:w="1498" w:type="pct"/>
            <w:vAlign w:val="center"/>
          </w:tcPr>
          <w:p w14:paraId="7476C94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60000</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备注：年预估用量不做采购承诺，合同期限1年以实际验收用量据实结算。</w:t>
      </w:r>
    </w:p>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447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35"/>
        <w:gridCol w:w="2079"/>
        <w:gridCol w:w="5899"/>
      </w:tblGrid>
      <w:tr w14:paraId="503E2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4"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7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345"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r>
      <w:tr w14:paraId="180EA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jc w:val="center"/>
        </w:trPr>
        <w:tc>
          <w:tcPr>
            <w:tcW w:w="474"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7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冰火板墙板</w:t>
            </w:r>
          </w:p>
        </w:tc>
        <w:tc>
          <w:tcPr>
            <w:tcW w:w="3345" w:type="pct"/>
            <w:shd w:val="clear" w:color="auto" w:fill="auto"/>
            <w:vAlign w:val="center"/>
          </w:tcPr>
          <w:p w14:paraId="4B9F181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规格：1.22m*2.4m 厚度6mm</w:t>
            </w:r>
          </w:p>
          <w:p w14:paraId="21B2D1C0">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材质：石棉硅酸钙板+装饰材料</w:t>
            </w:r>
          </w:p>
          <w:p w14:paraId="423C1CE3">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环保节能要求：A级防火</w:t>
            </w:r>
          </w:p>
          <w:p w14:paraId="28A0A2DE">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颜色：根据采购人需要确定</w:t>
            </w:r>
          </w:p>
          <w:p w14:paraId="4343F5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配件要求：包含封边线条、实木踢脚线等辅材。</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B1939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经营范围须包含板材的加工及销售；</w:t>
      </w:r>
    </w:p>
    <w:p w14:paraId="103A77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提供近三年内冰火板采购合同及验收记录；</w:t>
      </w:r>
    </w:p>
    <w:p w14:paraId="64FB30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 提供产品时同时提交产品合格证和质检报告；</w:t>
      </w:r>
    </w:p>
    <w:p w14:paraId="0DCD0D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 其他法律法规有关规范。</w:t>
      </w:r>
    </w:p>
    <w:p w14:paraId="6BD1157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本项目单价限价120元/平方米。</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包括但不限于货款、产品颜色定制、实木踢脚线和封边线条等辅料费、运输装卸、</w:t>
      </w:r>
      <w:r>
        <w:rPr>
          <w:rFonts w:hint="eastAsia" w:ascii="方正仿宋_GBK" w:hAnsi="方正仿宋_GBK" w:eastAsia="方正仿宋_GBK" w:cs="方正仿宋_GBK"/>
          <w:b w:val="0"/>
          <w:bCs w:val="0"/>
          <w:color w:val="000000" w:themeColor="text1"/>
          <w:kern w:val="0"/>
          <w:sz w:val="32"/>
          <w:szCs w:val="32"/>
          <w:highlight w:val="none"/>
          <w:lang w:val="en-US" w:eastAsia="zh-CN" w:bidi="ar-SA"/>
          <w14:textFill>
            <w14:solidFill>
              <w14:schemeClr w14:val="tx1"/>
            </w14:solidFill>
          </w14:textFill>
        </w:rPr>
        <w:t>安装人工、清洁、维护、售后、</w:t>
      </w:r>
      <w:r>
        <w:rPr>
          <w:rFonts w:hint="eastAsia" w:ascii="方正仿宋_GBK" w:hAnsi="方正仿宋_GBK" w:eastAsia="方正仿宋_GBK" w:cs="方正仿宋_GBK"/>
          <w:b w:val="0"/>
          <w:color w:val="auto"/>
          <w:kern w:val="0"/>
          <w:sz w:val="32"/>
          <w:szCs w:val="32"/>
          <w:highlight w:val="none"/>
          <w:lang w:val="en-US" w:eastAsia="zh-CN" w:bidi="ar-SA"/>
        </w:rPr>
        <w:t>税费、安全保险费等完成本项目所需的一切费用。因成交供应商自身原因造成漏报、少报皆由其自行承担责任，采购人不再补偿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70CDC76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中选后，一般情况接采购人通知后20天内完成产</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品定制</w:t>
      </w:r>
      <w:r>
        <w:rPr>
          <w:rFonts w:hint="eastAsia" w:ascii="方正仿宋_GBK" w:hAnsi="方正仿宋_GBK" w:eastAsia="方正仿宋_GBK" w:cs="方正仿宋_GBK"/>
          <w:color w:val="auto"/>
          <w:sz w:val="32"/>
          <w:szCs w:val="32"/>
          <w:highlight w:val="none"/>
          <w:lang w:val="en-US" w:eastAsia="zh-CN"/>
        </w:rPr>
        <w:t>和安装，特殊情况根据采购人通知安排。</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每次验收合格后据实结算；付款时供应商提供发票、验收单、送货单等。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109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产品到货后确认产品外观、规格、性能、配件等符合要求作为初步验收，初步验收无异常进行安装，</w:t>
      </w:r>
      <w:r>
        <w:rPr>
          <w:rFonts w:hint="eastAsia" w:ascii="方正仿宋_GBK" w:hAnsi="方正仿宋_GBK" w:eastAsia="方正仿宋_GBK" w:cs="方正仿宋_GBK"/>
          <w:color w:val="auto"/>
          <w:kern w:val="0"/>
          <w:sz w:val="32"/>
          <w:szCs w:val="32"/>
          <w:highlight w:val="none"/>
          <w:lang w:val="en-US" w:eastAsia="zh-CN"/>
        </w:rPr>
        <w:t>安装后由采购人组织多部门进行最终验收。</w:t>
      </w:r>
      <w:r>
        <w:rPr>
          <w:rFonts w:hint="eastAsia" w:ascii="方正仿宋_GBK" w:hAnsi="方正仿宋_GBK" w:eastAsia="方正仿宋_GBK" w:cs="方正仿宋_GBK"/>
          <w:color w:val="auto"/>
          <w:kern w:val="0"/>
          <w:sz w:val="32"/>
          <w:szCs w:val="32"/>
          <w:highlight w:val="none"/>
          <w:lang w:val="en-US" w:eastAsia="zh-CN"/>
        </w:rPr>
        <w:t>验收争议时由采购人邀请第三方机构检测，费用由供应商承担，验收后使用中发现产品质量争议按照验收争议进行处理。</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（1）质保期限：产品质保期为验收合格后1年，质保期内非人为损坏免费更换或维修。维修配件应为原厂配件。</w:t>
      </w:r>
    </w:p>
    <w:p w14:paraId="5A64D3A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（2）产品交付前，成交供应商须提供样品供采购人选材。</w:t>
      </w:r>
    </w:p>
    <w:p w14:paraId="2BBD969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（3）每次产品安装后，成交供应商应提供安装现场的清洁卫生服务。</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w:t>
      </w:r>
      <w:r>
        <w:rPr>
          <w:rFonts w:hint="eastAsia" w:ascii="方正仿宋_GBK" w:hAnsi="方正仿宋_GBK" w:eastAsia="方正仿宋_GBK" w:cs="方正仿宋_GBK"/>
          <w:color w:val="auto"/>
          <w:kern w:val="0"/>
          <w:sz w:val="32"/>
          <w:szCs w:val="32"/>
          <w:highlight w:val="none"/>
          <w:lang w:val="en-US" w:eastAsia="zh-CN"/>
        </w:rPr>
        <w:t>并将踏勘表装订至投标文件内一并投标</w:t>
      </w:r>
      <w:r>
        <w:rPr>
          <w:rFonts w:hint="eastAsia" w:ascii="方正仿宋_GBK" w:hAnsi="方正仿宋_GBK" w:eastAsia="方正仿宋_GBK" w:cs="方正仿宋_GBK"/>
          <w:color w:val="auto"/>
          <w:kern w:val="0"/>
          <w:sz w:val="32"/>
          <w:szCs w:val="32"/>
          <w:highlight w:val="none"/>
          <w:lang w:val="en-US" w:eastAsia="zh-CN"/>
        </w:rPr>
        <w:t>。任何因忽视或误解项目情况而导致的产品或配套服务不达标的，供应商自行承担相关责任。踏勘现场时发生的安全责任事故和相关费用由供应商自行承担责任，项目实施时不得影响周边居民的正常生活。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成交供应商应在中标后10个工作日内</w:t>
      </w:r>
      <w:r>
        <w:rPr>
          <w:rFonts w:hint="eastAsia" w:ascii="方正仿宋_GBK" w:hAnsi="方正仿宋_GBK" w:eastAsia="方正仿宋_GBK" w:cs="方正仿宋_GBK"/>
          <w:color w:val="auto"/>
          <w:sz w:val="32"/>
          <w:szCs w:val="32"/>
          <w:highlight w:val="none"/>
          <w:lang w:val="en-US" w:eastAsia="zh-CN"/>
        </w:rPr>
        <w:t>向采购人缴纳履约保证金5000元（形式可为现金、支票、汇款、银行保函等）。履约保障金将用于保障合同期限内产品质量（产品质量争议鉴定费用将优先从履约保证金中垫付）、配套服务的及时性和完整性、供应商履约期间廉洁自律、围标串标追责和其他违约时追责。供应商无上述行为，合同期满将一次性无息退还。如有上述行为除扣除履约保证金外，同时纳入采购人供应商不良执业记录进行管理。</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1000元违约金；合同期限内供应商出现2次及以上违约送货行为，包括延迟交货、数量短缺或未按约定方式配送等，采购人有权单方面终止合同，并要求供应商承担合同发生额30%的违约金；产品</w:t>
      </w:r>
      <w:r>
        <w:rPr>
          <w:rFonts w:hint="eastAsia" w:ascii="方正仿宋_GBK" w:hAnsi="方正仿宋_GBK" w:eastAsia="方正仿宋_GBK" w:cs="方正仿宋_GBK"/>
          <w:color w:val="auto"/>
          <w:sz w:val="32"/>
          <w:szCs w:val="32"/>
          <w:highlight w:val="none"/>
          <w:lang w:val="en-US" w:eastAsia="zh-CN"/>
        </w:rPr>
        <w:t>验收不合格或使用中发现产品质量缺陷，采购人有权要求供应商整改，整改期限为10日，整改期限届满仍未完成的供应商每日支付合同总金额千分之三的违约金，超过20日未能完成整改，采购人有权解除合同；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b w:val="0"/>
          <w:bCs w:val="0"/>
          <w:color w:val="auto"/>
          <w:kern w:val="0"/>
          <w:sz w:val="32"/>
          <w:szCs w:val="32"/>
          <w:highlight w:val="none"/>
          <w:lang w:val="en-US" w:eastAsia="zh-CN"/>
        </w:rPr>
        <w:t>供应商交付前明知存在缺陷仍继续交付或交付后知晓缺陷未及时通知采购人并整改的，采购人有权解除合同并要求供应商承担项目金额3倍的违约金；产品出现质量问题，供应商每次承担1000元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总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6E427B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766412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经营范围须包含板材的加工及销售；</w:t>
      </w:r>
    </w:p>
    <w:p w14:paraId="25C9325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提供近三年内冰火板采购合同及验收记录；</w:t>
      </w:r>
    </w:p>
    <w:p w14:paraId="394FE0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 提供产品时同时提交合格证和质检报告；</w:t>
      </w:r>
    </w:p>
    <w:p w14:paraId="68A36C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 其他法律法规有关规范。</w:t>
      </w:r>
    </w:p>
    <w:p w14:paraId="5B4EDF2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28229304"/>
      <w:bookmarkStart w:id="2" w:name="_Toc156196472"/>
      <w:bookmarkStart w:id="3" w:name="_Toc128014297"/>
      <w:bookmarkStart w:id="4" w:name="_Toc175017344"/>
      <w:bookmarkStart w:id="5" w:name="_Toc237057793"/>
      <w:bookmarkStart w:id="6" w:name="_Toc12822974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元/平方米。</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AEF434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（如产品说明书、检验检测报告等）</w:t>
      </w:r>
    </w:p>
    <w:p w14:paraId="7C6AC7D1">
      <w:pPr>
        <w:pStyle w:val="5"/>
        <w:jc w:val="both"/>
        <w:rPr>
          <w:rFonts w:hint="eastAsia" w:ascii="仿宋_GB2312" w:eastAsia="仿宋_GB2312" w:cs="宋体"/>
          <w:color w:val="auto"/>
          <w:sz w:val="32"/>
          <w:szCs w:val="32"/>
          <w:highlight w:val="none"/>
          <w:lang w:val="en-US" w:eastAsia="zh-CN"/>
        </w:rPr>
      </w:pP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5"/>
        <w:jc w:val="both"/>
        <w:rPr>
          <w:rFonts w:hint="eastAsia" w:ascii="仿宋_GB2312" w:eastAsia="仿宋_GB2312" w:cs="宋体"/>
          <w:color w:val="auto"/>
          <w:sz w:val="32"/>
          <w:szCs w:val="32"/>
          <w:highlight w:val="none"/>
          <w:lang w:val="en-US" w:eastAsia="zh-CN"/>
        </w:rPr>
      </w:pPr>
    </w:p>
    <w:p w14:paraId="614E13E0">
      <w:pPr>
        <w:pStyle w:val="5"/>
        <w:jc w:val="both"/>
        <w:rPr>
          <w:rFonts w:hint="eastAsia" w:ascii="仿宋_GB2312" w:eastAsia="仿宋_GB2312" w:cs="宋体"/>
          <w:color w:val="auto"/>
          <w:sz w:val="32"/>
          <w:szCs w:val="32"/>
          <w:highlight w:val="none"/>
          <w:lang w:val="en-US" w:eastAsia="zh-CN"/>
        </w:rPr>
      </w:pPr>
    </w:p>
    <w:p w14:paraId="7963054C">
      <w:pPr>
        <w:pStyle w:val="5"/>
        <w:jc w:val="both"/>
        <w:rPr>
          <w:rFonts w:hint="eastAsia" w:ascii="仿宋_GB2312" w:eastAsia="仿宋_GB2312" w:cs="宋体"/>
          <w:color w:val="auto"/>
          <w:sz w:val="32"/>
          <w:szCs w:val="32"/>
          <w:highlight w:val="none"/>
          <w:lang w:val="en-US" w:eastAsia="zh-CN"/>
        </w:rPr>
      </w:pPr>
    </w:p>
    <w:p w14:paraId="5C90FEA1">
      <w:pPr>
        <w:pStyle w:val="5"/>
        <w:jc w:val="both"/>
        <w:rPr>
          <w:rFonts w:hint="eastAsia" w:ascii="仿宋_GB2312" w:eastAsia="仿宋_GB2312" w:cs="宋体"/>
          <w:color w:val="auto"/>
          <w:sz w:val="32"/>
          <w:szCs w:val="32"/>
          <w:highlight w:val="none"/>
          <w:lang w:val="en-US" w:eastAsia="zh-CN"/>
        </w:rPr>
      </w:pPr>
    </w:p>
    <w:p w14:paraId="1948AFFA">
      <w:pPr>
        <w:pStyle w:val="5"/>
        <w:jc w:val="both"/>
        <w:rPr>
          <w:rFonts w:hint="eastAsia" w:ascii="仿宋_GB2312" w:eastAsia="仿宋_GB2312" w:cs="宋体"/>
          <w:color w:val="auto"/>
          <w:sz w:val="32"/>
          <w:szCs w:val="32"/>
          <w:highlight w:val="none"/>
          <w:lang w:val="en-US" w:eastAsia="zh-CN"/>
        </w:rPr>
      </w:pPr>
    </w:p>
    <w:p w14:paraId="5BF15C44">
      <w:pPr>
        <w:pStyle w:val="5"/>
        <w:jc w:val="both"/>
        <w:rPr>
          <w:rFonts w:hint="eastAsia" w:ascii="仿宋_GB2312" w:eastAsia="仿宋_GB2312" w:cs="宋体"/>
          <w:color w:val="auto"/>
          <w:sz w:val="32"/>
          <w:szCs w:val="32"/>
          <w:highlight w:val="none"/>
          <w:lang w:val="en-US" w:eastAsia="zh-CN"/>
        </w:rPr>
      </w:pPr>
    </w:p>
    <w:p w14:paraId="63E79169">
      <w:pPr>
        <w:pStyle w:val="5"/>
        <w:jc w:val="both"/>
        <w:rPr>
          <w:rFonts w:hint="eastAsia" w:ascii="仿宋_GB2312" w:eastAsia="仿宋_GB2312" w:cs="宋体"/>
          <w:color w:val="auto"/>
          <w:sz w:val="32"/>
          <w:szCs w:val="32"/>
          <w:highlight w:val="none"/>
          <w:lang w:val="en-US" w:eastAsia="zh-CN"/>
        </w:rPr>
      </w:pPr>
    </w:p>
    <w:p w14:paraId="0CA5D94C">
      <w:pPr>
        <w:pStyle w:val="5"/>
        <w:jc w:val="both"/>
        <w:rPr>
          <w:rFonts w:hint="eastAsia" w:ascii="仿宋_GB2312" w:eastAsia="仿宋_GB2312" w:cs="宋体"/>
          <w:color w:val="auto"/>
          <w:sz w:val="32"/>
          <w:szCs w:val="32"/>
          <w:highlight w:val="none"/>
          <w:lang w:val="en-US" w:eastAsia="zh-CN"/>
        </w:rPr>
      </w:pPr>
    </w:p>
    <w:p w14:paraId="47F74FB9">
      <w:pPr>
        <w:pStyle w:val="5"/>
        <w:jc w:val="both"/>
        <w:rPr>
          <w:rFonts w:hint="eastAsia" w:ascii="仿宋_GB2312" w:eastAsia="仿宋_GB2312" w:cs="宋体"/>
          <w:color w:val="auto"/>
          <w:sz w:val="32"/>
          <w:szCs w:val="32"/>
          <w:highlight w:val="none"/>
          <w:lang w:val="en-US" w:eastAsia="zh-CN"/>
        </w:rPr>
      </w:pPr>
    </w:p>
    <w:p w14:paraId="306BA8AE">
      <w:pPr>
        <w:pStyle w:val="5"/>
        <w:jc w:val="both"/>
        <w:rPr>
          <w:rFonts w:hint="eastAsia" w:ascii="仿宋_GB2312" w:eastAsia="仿宋_GB2312" w:cs="宋体"/>
          <w:color w:val="auto"/>
          <w:sz w:val="32"/>
          <w:szCs w:val="32"/>
          <w:highlight w:val="none"/>
          <w:lang w:val="en-US" w:eastAsia="zh-CN"/>
        </w:rPr>
      </w:pPr>
    </w:p>
    <w:p w14:paraId="0435BC3D">
      <w:pPr>
        <w:pStyle w:val="5"/>
        <w:jc w:val="both"/>
        <w:rPr>
          <w:rFonts w:hint="eastAsia" w:ascii="仿宋_GB2312" w:eastAsia="仿宋_GB2312" w:cs="宋体"/>
          <w:color w:val="auto"/>
          <w:sz w:val="32"/>
          <w:szCs w:val="32"/>
          <w:highlight w:val="none"/>
          <w:lang w:val="en-US" w:eastAsia="zh-CN"/>
        </w:rPr>
      </w:pPr>
    </w:p>
    <w:p w14:paraId="0BFDDD11">
      <w:pPr>
        <w:pStyle w:val="5"/>
        <w:jc w:val="both"/>
        <w:rPr>
          <w:rFonts w:hint="eastAsia" w:ascii="仿宋_GB2312" w:eastAsia="仿宋_GB2312" w:cs="宋体"/>
          <w:color w:val="auto"/>
          <w:sz w:val="32"/>
          <w:szCs w:val="32"/>
          <w:highlight w:val="none"/>
          <w:lang w:val="en-US" w:eastAsia="zh-CN"/>
        </w:rPr>
      </w:pPr>
    </w:p>
    <w:p w14:paraId="625ACC0E">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E923ED"/>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87365E3"/>
    <w:rsid w:val="29AE2A56"/>
    <w:rsid w:val="2C3529EE"/>
    <w:rsid w:val="2CCA628B"/>
    <w:rsid w:val="2F2F3117"/>
    <w:rsid w:val="2FC44243"/>
    <w:rsid w:val="31092EA8"/>
    <w:rsid w:val="31B12793"/>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DD120F"/>
    <w:rsid w:val="46F74436"/>
    <w:rsid w:val="474B1D32"/>
    <w:rsid w:val="475D7492"/>
    <w:rsid w:val="482D6FF9"/>
    <w:rsid w:val="496140CE"/>
    <w:rsid w:val="4A663C18"/>
    <w:rsid w:val="4AE139DB"/>
    <w:rsid w:val="4B2941E0"/>
    <w:rsid w:val="4BDB0A24"/>
    <w:rsid w:val="4C31315D"/>
    <w:rsid w:val="4F6D75ED"/>
    <w:rsid w:val="51352B6B"/>
    <w:rsid w:val="53A17F68"/>
    <w:rsid w:val="53DB6C22"/>
    <w:rsid w:val="54B6568B"/>
    <w:rsid w:val="55085A60"/>
    <w:rsid w:val="55BB5978"/>
    <w:rsid w:val="59343196"/>
    <w:rsid w:val="599E0097"/>
    <w:rsid w:val="5ADB7D78"/>
    <w:rsid w:val="5C4B31D2"/>
    <w:rsid w:val="5D6C0A93"/>
    <w:rsid w:val="5D915A0E"/>
    <w:rsid w:val="5DBD061A"/>
    <w:rsid w:val="5E932E93"/>
    <w:rsid w:val="5F1D2B10"/>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0C5176"/>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38C6FB0"/>
    <w:rsid w:val="74664EBC"/>
    <w:rsid w:val="748E4735"/>
    <w:rsid w:val="74A2126A"/>
    <w:rsid w:val="761A5C47"/>
    <w:rsid w:val="77DC750A"/>
    <w:rsid w:val="77FA34D6"/>
    <w:rsid w:val="78024143"/>
    <w:rsid w:val="78F54CD1"/>
    <w:rsid w:val="799B64FC"/>
    <w:rsid w:val="7A4E1FBE"/>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6085</Words>
  <Characters>6305</Characters>
  <Lines>0</Lines>
  <Paragraphs>0</Paragraphs>
  <TotalTime>25</TotalTime>
  <ScaleCrop>false</ScaleCrop>
  <LinksUpToDate>false</LinksUpToDate>
  <CharactersWithSpaces>6953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2025-06-10T01:27:46Z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9F293AE8113B4504AEB0B1DB14A9F91C_13</vt:lpwstr>
  </property>
  <property fmtid="{D5CDD505-2E9C-101B-9397-08002B2CF9AE}" pid="4" name="KSOTemplateDocerSaveRecord">
    <vt:lpwstr>eyJoZGlkIjoiNzdkNTM4MTkwYTE0Yjk0Y2Y4MjVlZDcwOGViZTQwYjIiLCJ1c2VySWQiOiIxMTc2NDE1MTk0In0=</vt:lpwstr>
  </property>
</Properties>
</file>